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745"/>
        <w:gridCol w:w="7222"/>
      </w:tblGrid>
      <w:tr>
        <w:trPr>
          <w:trHeight w:val="1180" w:hRule="auto"/>
          <w:jc w:val="center"/>
        </w:trPr>
        <w:tc>
          <w:tcPr>
            <w:tcW w:w="27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47" w:dyaOrig="1842">
                <v:rect xmlns:o="urn:schemas-microsoft-com:office:office" xmlns:v="urn:schemas-microsoft-com:vml" id="rectole0000000000" style="width:112.350000pt;height:92.1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7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Филиал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РОССИЙСКИЙ ГОСУДАРСТВЕННЫЙ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СОЦИАЛЬНЫЙ УНИВЕРСИТЕТ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г. Пятигорске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ноября 2016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НАУЧНО-ПРАКТИЧЕСКАЯ КОНФЕРЕНЦИЯ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ourier New" w:hAnsi="Courier New" w:cs="Courier New" w:eastAsia="Courier New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  <w:t xml:space="preserve">Язык и межкультурные коммуникации</w:t>
      </w: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Уважаемые коллеги!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Филиал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Российского государственного социального университета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г. Пятигорске приглашает молодых ученых, научных работников, аспирантов, докторантов, соискателей, преподавателей, а также студентов принять участие в работе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Научно-практической конференции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 и межкультурные коммуникации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которая состоится 10 ноября 2016 года в городе-курорте Пятигорске.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Webdings" w:hAnsi="Webdings" w:cs="Webdings" w:eastAsia="Webdings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Webdings" w:hAnsi="Webdings" w:cs="Webdings" w:eastAsia="Webdings"/>
          <w:b/>
          <w:color w:val="000000"/>
          <w:spacing w:val="0"/>
          <w:position w:val="0"/>
          <w:sz w:val="36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$&gt;@&lt;0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участия в работе конференции: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7"/>
          <w:shd w:fill="auto" w:val="clear"/>
        </w:rPr>
        <w:t xml:space="preserve">очная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 (пленарный или секционный доклад),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7"/>
          <w:shd w:fill="auto" w:val="clear"/>
        </w:rPr>
        <w:t xml:space="preserve">заочная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 (представление материалов для публикации).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7527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 результатам конференции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издан электронный сборник материалов конференции (с присвоением кодов УДК и ББК).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По итогам конференции будет издан сборник статей, размещённый в научной электронной библиотеке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 elibrary.ru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и зарегистрированный в наукометрической базе  РИНЦ (Российский индекс научного цитирования).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1069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Язык конференции: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русский, английский.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  <w:r>
        <w:rPr>
          <w:rFonts w:ascii="Webdings" w:hAnsi="Webdings" w:cs="Webdings" w:eastAsia="Webdings"/>
          <w:color w:val="000000"/>
          <w:spacing w:val="0"/>
          <w:position w:val="0"/>
          <w:sz w:val="60"/>
          <w:shd w:fill="auto" w:val="clear"/>
        </w:rPr>
        <w:t xml:space="preserve">ì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  <w:t xml:space="preserve"> </w:t>
        <w:t xml:space="preserve"> </w:t>
        <w:t xml:space="preserve"> </w:t>
        <w:t xml:space="preserve"> </w:t>
        <w:t xml:space="preserve"> "</w:t>
        <w:t xml:space="preserve"> " </w:t>
        <w:t xml:space="preserve"> </w:t>
        <w:t xml:space="preserve"> </w:t>
        <w:t xml:space="preserve"> $</w:t>
        <w:t xml:space="preserve">  </w:t>
        <w:t xml:space="preserve"> </w:t>
        <w:t xml:space="preserve"> &amp;</w:t>
        <w:t xml:space="preserve"> </w:t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FFFFFF" w:val="clear"/>
        </w:rPr>
        <w:t xml:space="preserve">Председатель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Аванесов Л.Э., к.и.н., доцент, директор филиала РГСУ в г. Пятигорске.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  <w:t xml:space="preserve">Члены оргкомитета: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Дурдыева Д.А.,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к.э.н., доцент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, зам. директора по научно-исследовательской работе филиала РГСУ в г. Пятигорске.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Павлюк С.В., к.и.н., доцент, зав.кафедрой социальной работы, психологии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Суховеева Н.Д., к.пед.н., доцент, доцент кафедры социальной работы, психологии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Колесников И.Н., к.и.н., ст.преподаватель кафедры социальной работы, психологии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Webdings" w:hAnsi="Webdings" w:cs="Webdings" w:eastAsia="Webdings"/>
          <w:b/>
          <w:color w:val="auto"/>
          <w:spacing w:val="0"/>
          <w:position w:val="0"/>
          <w:sz w:val="60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 5&gt;1E&gt;48&lt;K5 4&gt;:C&lt;5=BK 4;O CG0AB8O 2 :&gt;=D5@5=F88 8 ?C1;8:0F88 AB0BL8 2 A1&gt;@=8:5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итогам работы конференции все участники получат Сертификаты, а также будет выпущено электронное издание, которое будет размещено в научной электронной библиотеке eLibrary (РИНЦ).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Стоимость публикации статьи для преподавателей 1 000 руб., для студентов 300 руб.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 очном участии необходимо в срок не позднее 27 октября 2016г. заполнить заявку (см. приложение1) и направить вместе с материалами (в соответствии с приложением 2),квитанцией участника -  по электронной почте: по электронной почте: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nauka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@mail.ru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заочного участия необходимо в срок не позднее 6 ноября 2016 заполнить заявку (см. приложение1) и направить вместе с материалами (в соответствии с приложением 2), квитанцией участника -  по электронной почте: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nauka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@mail.ru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Файл со статьей оформить: Фамилия И.О.(направление).doc. (или docx, или rtf.). Файл со сканом оплаты оформить: Фамилия И.О.(оплата).doc. (или jpg, или rtf.).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Webdings" w:hAnsi="Webdings" w:cs="Webdings" w:eastAsia="Webdings"/>
          <w:color w:val="auto"/>
          <w:spacing w:val="0"/>
          <w:position w:val="0"/>
          <w:sz w:val="44"/>
          <w:shd w:fill="FFFFFF" w:val="clear"/>
        </w:rPr>
        <w:t xml:space="preserve">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5:2878BK &gt;?;0BK ?C1;8:0F88 2 M;5:B@&gt;==&gt;&lt; 8740=88: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Получатель: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«E-Lit»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Банк получателя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Р/с 40702810560100005924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Северо-Кавказском банке ОАО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Сбербанка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Ставрополь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ИНН 2632101906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КПП 263201001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ОГРН 1152651015692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К/с 30101810600000000660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Тел. 8(928)6310277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Назначение платежа: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за электронное издание материалов Научно-практической конференции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Язык и межкультурные коммуникации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Контакты: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Дурдыева Дженнет Алиевна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тел.- 8(928)374-07-81; 8(962)024-29-59,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е-mail: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rgsunaukas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Суховеева Н.Д.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тел.- 8(928)361-36-01,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е-mail: </w:t>
      </w:r>
      <w:r>
        <w:rPr>
          <w:rFonts w:ascii="Times New Roman" w:hAnsi="Times New Roman" w:cs="Times New Roman" w:eastAsia="Times New Roman"/>
          <w:b/>
          <w:color w:val="000080"/>
          <w:spacing w:val="0"/>
          <w:position w:val="0"/>
          <w:sz w:val="24"/>
          <w:u w:val="single"/>
          <w:shd w:fill="auto" w:val="clear"/>
        </w:rPr>
        <w:t xml:space="preserve">nataliasukhov@mail.ru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1</w:t>
      </w: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ЗАЯВКА НА УЧАСТИЕ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6556"/>
        <w:gridCol w:w="2006"/>
      </w:tblGrid>
      <w:tr>
        <w:trPr>
          <w:trHeight w:val="389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автора (соавторов)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Место работы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Должность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Ученая степень, ученое звание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Название статьи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е-mail: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rgsukongress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Номер и название секции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Количество страниц статьи (округляется до целого в большую сторону)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Почтовый адрес для отправки сборника и сертификатов (с индексом)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получателя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Контактный телефон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E-mail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Необходимое количество экземпляров сборника (300 руб. за каждый дополнительный экземпляр) 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2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оформлению материалов</w:t>
      </w:r>
    </w:p>
    <w:p>
      <w:pPr>
        <w:spacing w:before="0" w:after="0" w:line="360"/>
        <w:ind w:right="0" w:left="0" w:firstLine="7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 публикации принимаются статьи объемом не менее 10 страниц машинописного текста. Для набора текста, формул и таблиц следует использовать редактор MicrosoftWord для Windows. Параметры текстового редактора: все поля по 2 см; шрифт TimesNewRoman, размер – 14; межстрочный интервал – 1,5; выравнивание по ширине; абзацный отступ 1 см; ориентация листа – книжная. Рисунки, выполненные в MS Word, не принимаются. Все рисунки и таблицы, должны быть пронумерованы и снабжены названиями или подрисуночными подписями.</w:t>
      </w:r>
    </w:p>
    <w:p>
      <w:pPr>
        <w:spacing w:before="0" w:after="0" w:line="360"/>
        <w:ind w:right="0" w:left="0" w:firstLine="7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Оформление заголовка на русском языке: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прописными, жирными буквами, выравнивание по центру строки)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НАЗВАНИЕ СТАТЬИ; на следующей строке (шрифт жирный курсив, выравнивание по правому краю)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Ф.И.О. автора статьи полностью; на следующей строке (шрифт курсив, выравнивание по правому краю) –ученое звание, ученая степень, название вуза, город или должность, место работы, город (сокращения не допускаются); на следующей строке (шрифт курсив, выравнивание по правому краю)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E-mail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для контактов.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7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Если авторов статьи несколько, то информация повторяется для каждого автора.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Оформление заголовка на английском языке: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та же информация повторяется на английском языке.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Аннотация на русском и английском языке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не более 600 знаков (считая с пробелами) для аннотации на каждом языке.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Ключевые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приводятся на русском и английском языках) отделяются друг от друга точкой с запятой.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Через 1 строку – текст статьи.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Через 1 строку - надпись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Список литературы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После нее приводится список литературы в алфавитном порядке, со сквозной нумерацией, оформленный в соответствии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ГОСТ Р 7.0.5 – 2008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(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пример оформления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Автоматическое управление интеллектуальным зданием на основе датчиков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Иванов Иван Иванович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канд. техн. наук, зав. кафедрой информационно-измерительных систем, доцент Новосибирского государственного технического университета,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Новосибирск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 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tech@mail.ru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AUTOMATIC CONTROL OF INTELLIGENT BUILDINGS BASED ON SENSORS</w:t>
      </w:r>
    </w:p>
    <w:p>
      <w:pPr>
        <w:widowControl w:val="fals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Ivan Ivanov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Candidate of Science, Head of Information and Measuring Systems department, assistant professor of NovosibirskStateTechnicalUniversity, Novosibirsk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АННОТАЦИЯ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Цель. Метод. Результат. Выводы.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ABSTRACT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Background.Methods. Result. Conclusion.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Ключевыеслова: фазовыехарактеристики; цепь.</w:t>
      </w:r>
    </w:p>
    <w:p>
      <w:pPr>
        <w:spacing w:before="0" w:after="0" w:line="36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Keywords: phase characteristics; circuit.</w:t>
      </w:r>
    </w:p>
    <w:p>
      <w:pPr>
        <w:widowControl w:val="false"/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Текстстатьи. Текстстатьи. Текст статьи. Текст статьи. Текст статьи.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 [1,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35].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Таблица 1.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 таблицы</w:t>
      </w:r>
    </w:p>
    <w:tbl>
      <w:tblPr/>
      <w:tblGrid>
        <w:gridCol w:w="1942"/>
        <w:gridCol w:w="1942"/>
        <w:gridCol w:w="1943"/>
        <w:gridCol w:w="1943"/>
        <w:gridCol w:w="1943"/>
      </w:tblGrid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</w:tbl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 Текст статьи.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 [2,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35].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</w:t>
      </w: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6357" w:dyaOrig="3725">
          <v:rect xmlns:o="urn:schemas-microsoft-com:office:office" xmlns:v="urn:schemas-microsoft-com:vml" id="rectole0000000001" style="width:317.850000pt;height:186.25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9"/>
        </w:object>
      </w:r>
    </w:p>
    <w:p>
      <w:pPr>
        <w:widowControl w:val="fals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Рисунок 1. Название рисунка</w:t>
      </w: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 Текст статьи.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 [3,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35].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</w:t>
      </w:r>
    </w:p>
    <w:p>
      <w:pPr>
        <w:tabs>
          <w:tab w:val="left" w:pos="3975" w:leader="none"/>
        </w:tabs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(1)</w:t>
      </w:r>
    </w:p>
    <w:p>
      <w:pPr>
        <w:tabs>
          <w:tab w:val="left" w:pos="3975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где: — текущая скалярная мера усталостных повреждений;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текущее значение предела выносливости материала, МПа;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эффективная частота процесса, Гц;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коэффициент в корреляционной зависимости между пределом выносливости и пределом прочности по Эйхингеру;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коэффициент порога чувствительности.</w:t>
      </w: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 Текст статьи.</w:t>
      </w: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Список литературы:</w:t>
      </w:r>
    </w:p>
    <w:p>
      <w:pPr>
        <w:widowControl w:val="false"/>
        <w:numPr>
          <w:ilvl w:val="0"/>
          <w:numId w:val="130"/>
        </w:numPr>
        <w:spacing w:before="0" w:after="0" w:line="360"/>
        <w:ind w:right="0" w:left="567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Березовин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Н.А. Основы органической химии: учеб.пособие. Мн.: Новое знание, 2004. — 336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widowControl w:val="false"/>
        <w:numPr>
          <w:ilvl w:val="0"/>
          <w:numId w:val="130"/>
        </w:numPr>
        <w:spacing w:before="0" w:after="0" w:line="360"/>
        <w:ind w:right="0" w:left="567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Мижериков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В.А., Юзефавичус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Т.А. Введение в органическую химию : учеб.пособие. М.: Юриспруденция, 2005. — 352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widowControl w:val="false"/>
        <w:numPr>
          <w:ilvl w:val="0"/>
          <w:numId w:val="130"/>
        </w:numPr>
        <w:spacing w:before="0" w:after="0" w:line="360"/>
        <w:ind w:right="0" w:left="567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Сабиров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В.Ш. Предмет химического исследования // Судебный вестник.—2004.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6. 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электронный ресурс] — Режим доступа. — URL: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http://www.chemistry.ru/article.php?no=317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3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Квитанция участия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tbl>
      <w:tblPr/>
      <w:tblGrid>
        <w:gridCol w:w="303"/>
        <w:gridCol w:w="304"/>
        <w:gridCol w:w="239"/>
        <w:gridCol w:w="301"/>
        <w:gridCol w:w="239"/>
        <w:gridCol w:w="301"/>
        <w:gridCol w:w="239"/>
        <w:gridCol w:w="239"/>
        <w:gridCol w:w="298"/>
        <w:gridCol w:w="239"/>
        <w:gridCol w:w="128"/>
        <w:gridCol w:w="173"/>
        <w:gridCol w:w="579"/>
        <w:gridCol w:w="6788"/>
      </w:tblGrid>
      <w:tr>
        <w:trPr>
          <w:trHeight w:val="1515" w:hRule="auto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15" w:hRule="auto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2" w:hRule="auto"/>
          <w:jc w:val="left"/>
          <w:cantSplit w:val="1"/>
        </w:trPr>
        <w:tc>
          <w:tcPr>
            <w:tcW w:w="2830" w:type="dxa"/>
            <w:gridSpan w:val="11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ИЗВЕЩЕНИЕ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Кассир</w:t>
            </w: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ЛСВ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 Пятигорск</w:t>
            </w:r>
          </w:p>
        </w:tc>
      </w:tr>
      <w:tr>
        <w:trPr>
          <w:trHeight w:val="562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263210906      КПП 263201001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Расчетный счет 40702810560100005924</w:t>
            </w:r>
          </w:p>
        </w:tc>
      </w:tr>
      <w:tr>
        <w:trPr>
          <w:trHeight w:val="835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 Северо-Кавказском банке ОАО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Сбербанка России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г. Ставрополь БИК 040702660, к/с 30101810600000000660</w:t>
            </w:r>
          </w:p>
        </w:tc>
      </w:tr>
      <w:tr>
        <w:trPr>
          <w:trHeight w:val="1515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Адрес: 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плательщика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515" w:hRule="auto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л/счета плательщика   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515" w:hRule="auto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Платеж по счету Участие в конференции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Язык и межкультурные коммуниции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Итого к оплате: 1000-00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 (подпись):                     Дата: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«___» ___________ 2016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</w:tc>
      </w:tr>
      <w:tr>
        <w:trPr>
          <w:trHeight w:val="332" w:hRule="auto"/>
          <w:jc w:val="left"/>
          <w:cantSplit w:val="1"/>
        </w:trPr>
        <w:tc>
          <w:tcPr>
            <w:tcW w:w="2830" w:type="dxa"/>
            <w:gridSpan w:val="11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ИЗВЕЩЕНИЕ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Кассир</w:t>
            </w: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ЛСВ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 Пятигорск</w:t>
            </w:r>
          </w:p>
        </w:tc>
      </w:tr>
      <w:tr>
        <w:trPr>
          <w:trHeight w:val="562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263210906      КПП 263201001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Расчетный счет 40702810560100005924</w:t>
            </w:r>
          </w:p>
        </w:tc>
      </w:tr>
      <w:tr>
        <w:trPr>
          <w:trHeight w:val="835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 Северо-Кавказском банке ОАО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Сбербанка России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г. Ставрополь БИК 040702660, к/с 30101810600000000660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Адрес: 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плательщика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" w:hRule="atLeast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л/счета плательщика   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" w:hRule="atLeast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Платеж по счету Участие в конференции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Язык и межкультурные коммуниции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Итого к оплате: 1000-00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 (подпись):                     Дата: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«___» ___________ 2016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</w:tc>
      </w:tr>
    </w:tbl>
    <w:p>
      <w:pPr>
        <w:tabs>
          <w:tab w:val="left" w:pos="105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7">
    <w:abstractNumId w:val="12"/>
  </w:num>
  <w:num w:numId="20">
    <w:abstractNumId w:val="6"/>
  </w:num>
  <w:num w:numId="1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styles.xml" Id="docRId13" Type="http://schemas.openxmlformats.org/officeDocument/2006/relationships/styles"/><Relationship TargetMode="External" Target="mailto:rgsunauka@mail.ru" Id="docRId3" Type="http://schemas.openxmlformats.org/officeDocument/2006/relationships/hyperlink"/><Relationship TargetMode="External" Target="http://sibac.info/2012-06-15-13-07-22/705-2008docx" Id="docRId7" Type="http://schemas.openxmlformats.org/officeDocument/2006/relationships/hyperlink"/><Relationship Target="media/image1.wmf" Id="docRId10" Type="http://schemas.openxmlformats.org/officeDocument/2006/relationships/image"/><Relationship TargetMode="External" Target="mailto:rgsunauka@mail.ru" Id="docRId2" Type="http://schemas.openxmlformats.org/officeDocument/2006/relationships/hyperlink"/><Relationship TargetMode="External" Target="http://sibac.info/GOSTR_7_0_5_2008.pdf" Id="docRId6" Type="http://schemas.openxmlformats.org/officeDocument/2006/relationships/hyperlink"/><Relationship Target="media/image0.wmf" Id="docRId1" Type="http://schemas.openxmlformats.org/officeDocument/2006/relationships/image"/><Relationship TargetMode="External" Target="http://www.chemistry.ru/article.php?no=317" Id="docRId11" Type="http://schemas.openxmlformats.org/officeDocument/2006/relationships/hyperlink"/><Relationship TargetMode="External" Target="mailto:rgsukongress@mail.ru" Id="docRId5" Type="http://schemas.openxmlformats.org/officeDocument/2006/relationships/hyperlink"/><Relationship Target="embeddings/oleObject1.bin" Id="docRId9" Type="http://schemas.openxmlformats.org/officeDocument/2006/relationships/oleObject"/><Relationship Target="embeddings/oleObject0.bin" Id="docRId0" Type="http://schemas.openxmlformats.org/officeDocument/2006/relationships/oleObject"/><Relationship Target="numbering.xml" Id="docRId12" Type="http://schemas.openxmlformats.org/officeDocument/2006/relationships/numbering"/><Relationship TargetMode="External" Target="mailto:rgsunaukas@mail.ru" Id="docRId4" Type="http://schemas.openxmlformats.org/officeDocument/2006/relationships/hyperlink"/><Relationship TargetMode="External" Target="mailto:tech@mail.ru" Id="docRId8" Type="http://schemas.openxmlformats.org/officeDocument/2006/relationships/hyperlink"/></Relationships>
</file>